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0056" w14:textId="76FFFAB3" w:rsidR="008808CD" w:rsidRDefault="008808CD" w:rsidP="00833E01">
      <w:pPr>
        <w:pStyle w:val="Heading1"/>
        <w:rPr>
          <w:b/>
          <w:bCs/>
          <w:sz w:val="28"/>
          <w:szCs w:val="28"/>
        </w:rPr>
      </w:pPr>
      <w:r w:rsidRPr="00833E01">
        <w:rPr>
          <w:b/>
          <w:bCs/>
        </w:rPr>
        <w:t>Collection and Handling of Laboratory Samples COVID-19</w:t>
      </w:r>
      <w:r w:rsidR="00B44CE3">
        <w:rPr>
          <w:b/>
          <w:bCs/>
        </w:rPr>
        <w:t xml:space="preserve"> </w:t>
      </w:r>
      <w:r w:rsidRPr="00B44CE3">
        <w:rPr>
          <w:b/>
          <w:bCs/>
          <w:sz w:val="28"/>
          <w:szCs w:val="28"/>
        </w:rPr>
        <w:t>(2019-nCoV)</w:t>
      </w:r>
    </w:p>
    <w:p w14:paraId="5541AA19" w14:textId="77777777" w:rsidR="006B68C0" w:rsidRPr="006B68C0" w:rsidRDefault="006B68C0" w:rsidP="006B68C0">
      <w:pPr>
        <w:rPr>
          <w:sz w:val="10"/>
          <w:szCs w:val="10"/>
        </w:rPr>
      </w:pPr>
    </w:p>
    <w:tbl>
      <w:tblPr>
        <w:tblStyle w:val="TableGrid"/>
        <w:tblW w:w="0" w:type="auto"/>
        <w:tblLook w:val="04A0" w:firstRow="1" w:lastRow="0" w:firstColumn="1" w:lastColumn="0" w:noHBand="0" w:noVBand="1"/>
      </w:tblPr>
      <w:tblGrid>
        <w:gridCol w:w="10214"/>
      </w:tblGrid>
      <w:tr w:rsidR="008808CD" w14:paraId="236CE186" w14:textId="77777777" w:rsidTr="001E0D8E">
        <w:tc>
          <w:tcPr>
            <w:tcW w:w="10214" w:type="dxa"/>
          </w:tcPr>
          <w:p w14:paraId="04D2BB6C" w14:textId="4B66F1EB" w:rsidR="008808CD" w:rsidRPr="00833E01" w:rsidRDefault="008808CD" w:rsidP="00833E01">
            <w:pPr>
              <w:pStyle w:val="Heading2"/>
              <w:outlineLvl w:val="1"/>
              <w:rPr>
                <w:b/>
                <w:bCs/>
              </w:rPr>
            </w:pPr>
            <w:r w:rsidRPr="00833E01">
              <w:rPr>
                <w:b/>
                <w:bCs/>
              </w:rPr>
              <w:t>Preparation</w:t>
            </w:r>
          </w:p>
        </w:tc>
      </w:tr>
      <w:tr w:rsidR="008808CD" w14:paraId="17E2A4B2" w14:textId="77777777" w:rsidTr="001E0D8E">
        <w:tc>
          <w:tcPr>
            <w:tcW w:w="10214" w:type="dxa"/>
          </w:tcPr>
          <w:p w14:paraId="0D459208" w14:textId="77777777" w:rsidR="008808CD" w:rsidRDefault="008808CD" w:rsidP="008808CD">
            <w:pPr>
              <w:pStyle w:val="ListParagraph"/>
              <w:numPr>
                <w:ilvl w:val="0"/>
                <w:numId w:val="2"/>
              </w:numPr>
            </w:pPr>
            <w:r w:rsidRPr="008808CD">
              <w:t>For suspected Coronavirus/COVID-19/2019-nCoV patients, contact lab for collection ki</w:t>
            </w:r>
            <w:r>
              <w:t>t</w:t>
            </w:r>
          </w:p>
          <w:p w14:paraId="51DDF7D9" w14:textId="77777777" w:rsidR="004B1354" w:rsidRDefault="004B1354" w:rsidP="004B1354">
            <w:pPr>
              <w:pStyle w:val="ListParagraph"/>
              <w:numPr>
                <w:ilvl w:val="1"/>
                <w:numId w:val="2"/>
              </w:numPr>
            </w:pPr>
            <w:r w:rsidRPr="004B1354">
              <w:t>Coronavirus 2019-nCoV Respiratory specimen collection instructions 2.</w:t>
            </w:r>
          </w:p>
          <w:p w14:paraId="7C8AF73D" w14:textId="77777777" w:rsidR="004B1354" w:rsidRDefault="004B1354" w:rsidP="004B1354">
            <w:pPr>
              <w:pStyle w:val="ListParagraph"/>
              <w:numPr>
                <w:ilvl w:val="2"/>
                <w:numId w:val="2"/>
              </w:numPr>
            </w:pPr>
            <w:r w:rsidRPr="004B1354">
              <w:t xml:space="preserve">synthetic flexible, floq swabs and (1) Viral transport medium. (example: Xpert Nasopharyngeal Sample Kit for Viruses) </w:t>
            </w:r>
          </w:p>
          <w:p w14:paraId="176ECA2A" w14:textId="77777777" w:rsidR="004B1354" w:rsidRDefault="004B1354" w:rsidP="004B1354">
            <w:pPr>
              <w:pStyle w:val="ListParagraph"/>
              <w:numPr>
                <w:ilvl w:val="2"/>
                <w:numId w:val="2"/>
              </w:numPr>
            </w:pPr>
            <w:r w:rsidRPr="004B1354">
              <w:t xml:space="preserve">CDC Person Under Investigation Case Report Form </w:t>
            </w:r>
          </w:p>
          <w:p w14:paraId="2CD01C37" w14:textId="77777777" w:rsidR="004B1354" w:rsidRDefault="004B1354" w:rsidP="004B1354">
            <w:pPr>
              <w:pStyle w:val="ListParagraph"/>
              <w:numPr>
                <w:ilvl w:val="2"/>
                <w:numId w:val="2"/>
              </w:numPr>
            </w:pPr>
            <w:r w:rsidRPr="004B1354">
              <w:t>Second Biohazard bag with fluorescent pink COVID-19 label affixed</w:t>
            </w:r>
          </w:p>
          <w:p w14:paraId="7678EB2A" w14:textId="0AFFA51C" w:rsidR="004B1354" w:rsidRDefault="004B1354" w:rsidP="004B1354">
            <w:pPr>
              <w:pStyle w:val="ListParagraph"/>
              <w:numPr>
                <w:ilvl w:val="0"/>
                <w:numId w:val="2"/>
              </w:numPr>
            </w:pPr>
            <w:r>
              <w:t xml:space="preserve">Reminder-Walk sample to the lab- do NOT transport through tube station </w:t>
            </w:r>
          </w:p>
        </w:tc>
      </w:tr>
      <w:tr w:rsidR="00833E01" w14:paraId="2E7E8C62" w14:textId="77777777" w:rsidTr="001E0D8E">
        <w:tc>
          <w:tcPr>
            <w:tcW w:w="10214" w:type="dxa"/>
          </w:tcPr>
          <w:p w14:paraId="286E6752" w14:textId="3E954286" w:rsidR="00833E01" w:rsidRPr="008808CD" w:rsidRDefault="00833E01" w:rsidP="008808CD">
            <w:pPr>
              <w:pStyle w:val="ListParagraph"/>
              <w:numPr>
                <w:ilvl w:val="0"/>
                <w:numId w:val="2"/>
              </w:numPr>
            </w:pPr>
            <w:r>
              <w:t>Review Order</w:t>
            </w:r>
          </w:p>
        </w:tc>
      </w:tr>
      <w:tr w:rsidR="008808CD" w14:paraId="3F8767AF" w14:textId="77777777" w:rsidTr="001E0D8E">
        <w:tc>
          <w:tcPr>
            <w:tcW w:w="10214" w:type="dxa"/>
          </w:tcPr>
          <w:p w14:paraId="5813A475" w14:textId="77777777" w:rsidR="008808CD" w:rsidRPr="004B1354" w:rsidRDefault="008808CD" w:rsidP="008808CD">
            <w:pPr>
              <w:pStyle w:val="ListParagraph"/>
              <w:numPr>
                <w:ilvl w:val="0"/>
                <w:numId w:val="2"/>
              </w:numPr>
            </w:pPr>
            <w:r>
              <w:t xml:space="preserve">Complete collection in an </w:t>
            </w:r>
            <w:r w:rsidRPr="004B1354">
              <w:t>isolation room with airborne precautions (negative air pressure)</w:t>
            </w:r>
          </w:p>
          <w:p w14:paraId="6CD4ECA5" w14:textId="19069DE6" w:rsidR="00833E01" w:rsidRDefault="008808CD" w:rsidP="004B1354">
            <w:pPr>
              <w:pStyle w:val="ListParagraph"/>
              <w:numPr>
                <w:ilvl w:val="1"/>
                <w:numId w:val="2"/>
              </w:numPr>
            </w:pPr>
            <w:r w:rsidRPr="004B1354">
              <w:t>If a negative air pressure room is not available</w:t>
            </w:r>
            <w:r w:rsidR="004B1354">
              <w:t xml:space="preserve">, follow department specific workflow </w:t>
            </w:r>
          </w:p>
        </w:tc>
      </w:tr>
      <w:tr w:rsidR="008808CD" w14:paraId="74F48BC4" w14:textId="77777777" w:rsidTr="001E0D8E">
        <w:tc>
          <w:tcPr>
            <w:tcW w:w="10214" w:type="dxa"/>
          </w:tcPr>
          <w:p w14:paraId="0026BEF4" w14:textId="3D7FECD8" w:rsidR="008808CD" w:rsidRDefault="008808CD" w:rsidP="008808CD">
            <w:pPr>
              <w:pStyle w:val="ListParagraph"/>
              <w:numPr>
                <w:ilvl w:val="0"/>
                <w:numId w:val="2"/>
              </w:numPr>
            </w:pPr>
            <w:r>
              <w:t xml:space="preserve">Staff obtaining the sample need to wear the following Personal Protective Equipment (PPE), </w:t>
            </w:r>
            <w:r w:rsidR="00833E01">
              <w:t>follow the CDC recommendations for use.</w:t>
            </w:r>
          </w:p>
          <w:p w14:paraId="2A55EB38" w14:textId="77777777" w:rsidR="008808CD" w:rsidRDefault="008808CD" w:rsidP="008808CD">
            <w:pPr>
              <w:pStyle w:val="ListParagraph"/>
              <w:numPr>
                <w:ilvl w:val="1"/>
                <w:numId w:val="2"/>
              </w:numPr>
            </w:pPr>
            <w:r>
              <w:t>Gown</w:t>
            </w:r>
          </w:p>
          <w:p w14:paraId="3545DEC7" w14:textId="77777777" w:rsidR="008808CD" w:rsidRDefault="008808CD" w:rsidP="008808CD">
            <w:pPr>
              <w:pStyle w:val="ListParagraph"/>
              <w:numPr>
                <w:ilvl w:val="1"/>
                <w:numId w:val="2"/>
              </w:numPr>
            </w:pPr>
            <w:r>
              <w:t>Respirator</w:t>
            </w:r>
          </w:p>
          <w:p w14:paraId="639324F8" w14:textId="47703C8C" w:rsidR="008808CD" w:rsidRDefault="008808CD" w:rsidP="008808CD">
            <w:pPr>
              <w:pStyle w:val="ListParagraph"/>
              <w:numPr>
                <w:ilvl w:val="1"/>
                <w:numId w:val="2"/>
              </w:numPr>
            </w:pPr>
            <w:r>
              <w:t>Face Shield</w:t>
            </w:r>
          </w:p>
          <w:p w14:paraId="48A17439" w14:textId="457638E8" w:rsidR="008808CD" w:rsidRDefault="008808CD" w:rsidP="008808CD">
            <w:pPr>
              <w:pStyle w:val="ListParagraph"/>
              <w:numPr>
                <w:ilvl w:val="1"/>
                <w:numId w:val="2"/>
              </w:numPr>
            </w:pPr>
            <w:r>
              <w:t xml:space="preserve">Gloves </w:t>
            </w:r>
          </w:p>
        </w:tc>
      </w:tr>
      <w:tr w:rsidR="00833E01" w14:paraId="6B5A6601" w14:textId="77777777" w:rsidTr="001E0D8E">
        <w:tc>
          <w:tcPr>
            <w:tcW w:w="10214" w:type="dxa"/>
          </w:tcPr>
          <w:p w14:paraId="27060492" w14:textId="57560DB5" w:rsidR="00833E01" w:rsidRDefault="00833E01" w:rsidP="00833E01">
            <w:pPr>
              <w:pStyle w:val="Heading2"/>
              <w:outlineLvl w:val="1"/>
              <w:rPr>
                <w:b/>
                <w:bCs/>
              </w:rPr>
            </w:pPr>
            <w:r w:rsidRPr="00833E01">
              <w:rPr>
                <w:b/>
                <w:bCs/>
              </w:rPr>
              <w:t>Obtaining Sample</w:t>
            </w:r>
          </w:p>
          <w:p w14:paraId="1B58B897" w14:textId="77777777" w:rsidR="004B1354" w:rsidRPr="004B1354" w:rsidRDefault="004B1354" w:rsidP="004B1354"/>
          <w:p w14:paraId="6D8867B2" w14:textId="77777777" w:rsidR="004B1354" w:rsidRDefault="004B1354" w:rsidP="004B1354">
            <w:pPr>
              <w:rPr>
                <w:i/>
                <w:iCs/>
              </w:rPr>
            </w:pPr>
            <w:r w:rsidRPr="004B1354">
              <w:rPr>
                <w:i/>
                <w:iCs/>
              </w:rPr>
              <w:t xml:space="preserve">For initial diagnostic testing for COVID-19, a single nasopharyngeal (NP) swab in viral transport media is acceptable. A single NP swab in viral transport media can be used to test COVID-19, Influenza, and RSV. </w:t>
            </w:r>
          </w:p>
          <w:p w14:paraId="69EA29E4" w14:textId="77777777" w:rsidR="004B1354" w:rsidRDefault="004B1354" w:rsidP="004B1354">
            <w:pPr>
              <w:rPr>
                <w:i/>
                <w:iCs/>
              </w:rPr>
            </w:pPr>
          </w:p>
          <w:p w14:paraId="7BF11909" w14:textId="23BD3ECC" w:rsidR="004B1354" w:rsidRPr="004B1354" w:rsidRDefault="004B1354" w:rsidP="004B1354">
            <w:pPr>
              <w:rPr>
                <w:i/>
                <w:iCs/>
              </w:rPr>
            </w:pPr>
            <w:r w:rsidRPr="004B1354">
              <w:rPr>
                <w:i/>
                <w:iCs/>
              </w:rPr>
              <w:t xml:space="preserve">Exception: Aspirus Riverview Hospital </w:t>
            </w:r>
            <w:r w:rsidR="00EB7C90">
              <w:rPr>
                <w:i/>
                <w:iCs/>
              </w:rPr>
              <w:t xml:space="preserve">and Aspirus Medford Hospital </w:t>
            </w:r>
            <w:r w:rsidRPr="004B1354">
              <w:rPr>
                <w:i/>
                <w:iCs/>
              </w:rPr>
              <w:t>requires an additional NP swab outside of viral transport media for Influenza testing. Note: There are currently no COVID-19 tests approved for blood specimens.</w:t>
            </w:r>
          </w:p>
        </w:tc>
      </w:tr>
      <w:tr w:rsidR="008808CD" w14:paraId="01B2B3C2" w14:textId="77777777" w:rsidTr="001E0D8E">
        <w:tc>
          <w:tcPr>
            <w:tcW w:w="10214" w:type="dxa"/>
          </w:tcPr>
          <w:p w14:paraId="4CADC768" w14:textId="6EAEF67F" w:rsidR="00833E01" w:rsidRDefault="00833E01" w:rsidP="00833E01">
            <w:pPr>
              <w:pStyle w:val="ListParagraph"/>
              <w:numPr>
                <w:ilvl w:val="0"/>
                <w:numId w:val="2"/>
              </w:numPr>
            </w:pPr>
            <w:bookmarkStart w:id="0" w:name="_Hlk34982721"/>
            <w:r>
              <w:t>Upper Respiratory Tract Collection: (collection includes (</w:t>
            </w:r>
            <w:r w:rsidR="004B1354">
              <w:t>1</w:t>
            </w:r>
            <w:r>
              <w:t>) swab, (</w:t>
            </w:r>
            <w:r w:rsidR="004B1354">
              <w:t>1</w:t>
            </w:r>
            <w:r>
              <w:t>) transport tube</w:t>
            </w:r>
            <w:bookmarkStart w:id="1" w:name="_GoBack"/>
            <w:bookmarkEnd w:id="1"/>
            <w:r>
              <w:t xml:space="preserve">. </w:t>
            </w:r>
          </w:p>
          <w:p w14:paraId="45BD146E" w14:textId="77777777" w:rsidR="00654BF5" w:rsidRDefault="00654BF5" w:rsidP="00654BF5">
            <w:pPr>
              <w:pStyle w:val="ListParagraph"/>
            </w:pPr>
          </w:p>
          <w:p w14:paraId="7ABFA700" w14:textId="0D069031" w:rsidR="00833E01" w:rsidRDefault="00833E01" w:rsidP="00833E01">
            <w:pPr>
              <w:pStyle w:val="ListParagraph"/>
              <w:numPr>
                <w:ilvl w:val="1"/>
                <w:numId w:val="2"/>
              </w:numPr>
            </w:pPr>
            <w:r>
              <w:t xml:space="preserve">COVID </w:t>
            </w:r>
            <w:r w:rsidR="00EB7C90">
              <w:t xml:space="preserve">Collection </w:t>
            </w:r>
            <w:r>
              <w:t>includes (</w:t>
            </w:r>
            <w:r w:rsidR="00654BF5">
              <w:t>1</w:t>
            </w:r>
            <w:r>
              <w:t xml:space="preserve">) swab in a single transport tube </w:t>
            </w:r>
          </w:p>
          <w:p w14:paraId="02451A5C" w14:textId="77777777" w:rsidR="00654BF5" w:rsidRDefault="00654BF5" w:rsidP="00654BF5">
            <w:pPr>
              <w:pStyle w:val="ListParagraph"/>
              <w:ind w:left="1440"/>
            </w:pPr>
          </w:p>
          <w:p w14:paraId="7A555B94" w14:textId="20F81873" w:rsidR="00833E01" w:rsidRDefault="00833E01" w:rsidP="00833E01">
            <w:pPr>
              <w:pStyle w:val="ListParagraph"/>
              <w:numPr>
                <w:ilvl w:val="2"/>
                <w:numId w:val="2"/>
              </w:numPr>
            </w:pPr>
            <w:r>
              <w:t xml:space="preserve">Nasopharyngeal swab </w:t>
            </w:r>
          </w:p>
          <w:p w14:paraId="68CEC0BA" w14:textId="21950938" w:rsidR="00CF6846" w:rsidRDefault="00CF6846" w:rsidP="00CF6846">
            <w:pPr>
              <w:pStyle w:val="ListParagraph"/>
              <w:numPr>
                <w:ilvl w:val="3"/>
                <w:numId w:val="2"/>
              </w:numPr>
            </w:pPr>
            <w:r>
              <w:t>Tell the Patient that gagging or the urge to sneeze may occur</w:t>
            </w:r>
          </w:p>
          <w:p w14:paraId="27A8F9E3" w14:textId="41FFDA53" w:rsidR="00CF6846" w:rsidRDefault="00CF6846" w:rsidP="00CF6846">
            <w:pPr>
              <w:pStyle w:val="ListParagraph"/>
              <w:numPr>
                <w:ilvl w:val="3"/>
                <w:numId w:val="2"/>
              </w:numPr>
            </w:pPr>
            <w:r>
              <w:t>Swabbing will take less than 1 minute</w:t>
            </w:r>
          </w:p>
          <w:p w14:paraId="0F676897" w14:textId="3DE2627E" w:rsidR="00CF6846" w:rsidRDefault="00CF6846" w:rsidP="00CF6846">
            <w:pPr>
              <w:pStyle w:val="ListParagraph"/>
              <w:numPr>
                <w:ilvl w:val="3"/>
                <w:numId w:val="2"/>
              </w:numPr>
            </w:pPr>
            <w:r>
              <w:t>Have the patient sit upright on edge of chair or bed, facing you</w:t>
            </w:r>
          </w:p>
          <w:p w14:paraId="298BA162" w14:textId="77777777" w:rsidR="00833E01" w:rsidRDefault="00833E01" w:rsidP="00833E01">
            <w:pPr>
              <w:pStyle w:val="ListParagraph"/>
              <w:numPr>
                <w:ilvl w:val="3"/>
                <w:numId w:val="2"/>
              </w:numPr>
            </w:pPr>
            <w:r>
              <w:t xml:space="preserve">Visually inspect each nostril for secretions </w:t>
            </w:r>
          </w:p>
          <w:p w14:paraId="357E84CD" w14:textId="77777777" w:rsidR="00833E01" w:rsidRDefault="00833E01" w:rsidP="00833E01">
            <w:pPr>
              <w:pStyle w:val="ListParagraph"/>
              <w:numPr>
                <w:ilvl w:val="3"/>
                <w:numId w:val="2"/>
              </w:numPr>
            </w:pPr>
            <w:r>
              <w:t xml:space="preserve">Insert a swab into the nostril parallel to the palate. Keep the swab near the septum floor of the nose while gently pushing the swab into the posterior nasopharynx </w:t>
            </w:r>
          </w:p>
          <w:p w14:paraId="4DBA8C7B" w14:textId="530B0BEB" w:rsidR="00833E01" w:rsidRDefault="00833E01" w:rsidP="00833E01">
            <w:pPr>
              <w:pStyle w:val="ListParagraph"/>
              <w:numPr>
                <w:ilvl w:val="3"/>
                <w:numId w:val="2"/>
              </w:numPr>
              <w:rPr>
                <w:noProof/>
              </w:rPr>
            </w:pPr>
            <w:r>
              <w:t>Place swabs immediately into sterile tubes containing 2-3 ml of viral transport media, and break the swab at the indicated break line, and cap the tube</w:t>
            </w:r>
          </w:p>
          <w:p w14:paraId="69D50F75" w14:textId="77777777" w:rsidR="00CF6846" w:rsidRDefault="00CF6846" w:rsidP="00CF6846">
            <w:pPr>
              <w:pStyle w:val="ListParagraph"/>
              <w:ind w:left="2880"/>
              <w:rPr>
                <w:noProof/>
              </w:rPr>
            </w:pPr>
          </w:p>
          <w:p w14:paraId="30AA5455" w14:textId="77777777" w:rsidR="00654BF5" w:rsidRDefault="00654BF5" w:rsidP="00BC356D">
            <w:pPr>
              <w:jc w:val="center"/>
              <w:rPr>
                <w:noProof/>
              </w:rPr>
            </w:pPr>
          </w:p>
          <w:p w14:paraId="7F804074" w14:textId="11720870" w:rsidR="00BC356D" w:rsidRDefault="00BC356D" w:rsidP="00BC356D">
            <w:pPr>
              <w:jc w:val="center"/>
              <w:rPr>
                <w:noProof/>
              </w:rPr>
            </w:pPr>
          </w:p>
          <w:p w14:paraId="304A7191" w14:textId="532771B3" w:rsidR="00CF6846" w:rsidRDefault="00CF6846" w:rsidP="00CF6846">
            <w:pPr>
              <w:pStyle w:val="ListParagraph"/>
              <w:ind w:left="2160"/>
              <w:rPr>
                <w:noProof/>
              </w:rPr>
            </w:pPr>
          </w:p>
          <w:p w14:paraId="2B41BA18" w14:textId="138CEAEF" w:rsidR="006B68C0" w:rsidRDefault="006B68C0" w:rsidP="00CF6846">
            <w:pPr>
              <w:pStyle w:val="ListParagraph"/>
              <w:ind w:left="2160"/>
              <w:rPr>
                <w:noProof/>
              </w:rPr>
            </w:pPr>
          </w:p>
          <w:p w14:paraId="201D9FDA" w14:textId="2B8A3D8C" w:rsidR="006B68C0" w:rsidRDefault="006B68C0" w:rsidP="00CF6846">
            <w:pPr>
              <w:pStyle w:val="ListParagraph"/>
              <w:ind w:left="2160"/>
              <w:rPr>
                <w:noProof/>
              </w:rPr>
            </w:pPr>
          </w:p>
          <w:p w14:paraId="7167E50B" w14:textId="39CAD840" w:rsidR="006B68C0" w:rsidRDefault="006B68C0" w:rsidP="00CF6846">
            <w:pPr>
              <w:pStyle w:val="ListParagraph"/>
              <w:ind w:left="2160"/>
              <w:rPr>
                <w:noProof/>
              </w:rPr>
            </w:pPr>
          </w:p>
          <w:p w14:paraId="35D6CF77" w14:textId="0CE1D543" w:rsidR="006B68C0" w:rsidRDefault="006B68C0" w:rsidP="00CF6846">
            <w:pPr>
              <w:pStyle w:val="ListParagraph"/>
              <w:ind w:left="2160"/>
              <w:rPr>
                <w:noProof/>
              </w:rPr>
            </w:pPr>
          </w:p>
          <w:p w14:paraId="4EBF1453" w14:textId="137B9BB5" w:rsidR="006B68C0" w:rsidRDefault="006B68C0" w:rsidP="00CF6846">
            <w:pPr>
              <w:pStyle w:val="ListParagraph"/>
              <w:ind w:left="2160"/>
              <w:rPr>
                <w:noProof/>
              </w:rPr>
            </w:pPr>
          </w:p>
          <w:p w14:paraId="08112348" w14:textId="1483414C" w:rsidR="006B68C0" w:rsidRDefault="006B68C0" w:rsidP="00CF6846">
            <w:pPr>
              <w:pStyle w:val="ListParagraph"/>
              <w:ind w:left="2160"/>
              <w:rPr>
                <w:noProof/>
              </w:rPr>
            </w:pPr>
          </w:p>
          <w:p w14:paraId="0A6CC6AC" w14:textId="77777777" w:rsidR="006B68C0" w:rsidRDefault="006B68C0" w:rsidP="00CF6846">
            <w:pPr>
              <w:pStyle w:val="ListParagraph"/>
              <w:ind w:left="2160"/>
              <w:rPr>
                <w:noProof/>
              </w:rPr>
            </w:pPr>
          </w:p>
          <w:p w14:paraId="46E2EF0A" w14:textId="0FF93CDD" w:rsidR="00CF6846" w:rsidRDefault="00CF6846" w:rsidP="00CF6846">
            <w:pPr>
              <w:rPr>
                <w:noProof/>
              </w:rPr>
            </w:pPr>
            <w:r>
              <w:rPr>
                <w:noProof/>
              </w:rPr>
              <w:drawing>
                <wp:inline distT="0" distB="0" distL="0" distR="0" wp14:anchorId="67A09FEF" wp14:editId="056E6B04">
                  <wp:extent cx="6315075" cy="305994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19612" cy="3062143"/>
                          </a:xfrm>
                          <a:prstGeom prst="rect">
                            <a:avLst/>
                          </a:prstGeom>
                        </pic:spPr>
                      </pic:pic>
                    </a:graphicData>
                  </a:graphic>
                </wp:inline>
              </w:drawing>
            </w:r>
          </w:p>
          <w:p w14:paraId="12D8BEE4" w14:textId="022E0C2B" w:rsidR="00CF6846" w:rsidRPr="00654BF5" w:rsidRDefault="00CF6846" w:rsidP="00CF6846">
            <w:pPr>
              <w:rPr>
                <w:i/>
                <w:iCs/>
                <w:noProof/>
              </w:rPr>
            </w:pPr>
            <w:r w:rsidRPr="00654BF5">
              <w:rPr>
                <w:i/>
                <w:iCs/>
                <w:noProof/>
              </w:rPr>
              <w:t>(Lippincott, 2020)</w:t>
            </w:r>
          </w:p>
          <w:p w14:paraId="0EBB0091" w14:textId="77777777" w:rsidR="00CF6846" w:rsidRDefault="00CF6846" w:rsidP="00CF6846">
            <w:pPr>
              <w:pStyle w:val="ListParagraph"/>
              <w:ind w:left="2160"/>
              <w:rPr>
                <w:noProof/>
              </w:rPr>
            </w:pPr>
          </w:p>
          <w:p w14:paraId="227F1576" w14:textId="597C7503" w:rsidR="00BC356D" w:rsidRDefault="00BC356D" w:rsidP="00BC356D">
            <w:pPr>
              <w:jc w:val="center"/>
            </w:pPr>
            <w:r>
              <w:rPr>
                <w:noProof/>
              </w:rPr>
              <w:drawing>
                <wp:inline distT="0" distB="0" distL="0" distR="0" wp14:anchorId="16A1CDEF" wp14:editId="5865F522">
                  <wp:extent cx="3457143" cy="20571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57143" cy="2057143"/>
                          </a:xfrm>
                          <a:prstGeom prst="rect">
                            <a:avLst/>
                          </a:prstGeom>
                        </pic:spPr>
                      </pic:pic>
                    </a:graphicData>
                  </a:graphic>
                </wp:inline>
              </w:drawing>
            </w:r>
          </w:p>
          <w:p w14:paraId="2450162C" w14:textId="77777777" w:rsidR="00BC356D" w:rsidRDefault="00BC356D" w:rsidP="00BC356D">
            <w:pPr>
              <w:pStyle w:val="ListParagraph"/>
              <w:numPr>
                <w:ilvl w:val="2"/>
                <w:numId w:val="2"/>
              </w:numPr>
            </w:pPr>
            <w:r w:rsidRPr="00BC356D">
              <w:t>Clearly label</w:t>
            </w:r>
          </w:p>
          <w:p w14:paraId="229F4A52" w14:textId="77777777" w:rsidR="00BC356D" w:rsidRDefault="00BC356D" w:rsidP="00BC356D">
            <w:pPr>
              <w:pStyle w:val="ListParagraph"/>
              <w:numPr>
                <w:ilvl w:val="3"/>
                <w:numId w:val="2"/>
              </w:numPr>
            </w:pPr>
            <w:r w:rsidRPr="00BC356D">
              <w:t xml:space="preserve">Source: (NP swab) </w:t>
            </w:r>
          </w:p>
          <w:p w14:paraId="226CB56A" w14:textId="77777777" w:rsidR="00BC356D" w:rsidRDefault="00BC356D" w:rsidP="00654BF5">
            <w:pPr>
              <w:pStyle w:val="ListParagraph"/>
              <w:numPr>
                <w:ilvl w:val="3"/>
                <w:numId w:val="2"/>
              </w:numPr>
            </w:pPr>
            <w:r w:rsidRPr="00BC356D">
              <w:t>Patient name, DOB, Date, Time, Employee ID</w:t>
            </w:r>
            <w:bookmarkEnd w:id="0"/>
          </w:p>
          <w:p w14:paraId="52D99EEC" w14:textId="7607C064" w:rsidR="00654BF5" w:rsidRDefault="00654BF5" w:rsidP="00654BF5">
            <w:pPr>
              <w:pStyle w:val="ListParagraph"/>
              <w:ind w:left="2880"/>
            </w:pPr>
          </w:p>
        </w:tc>
      </w:tr>
      <w:tr w:rsidR="001E0D8E" w14:paraId="09647B73" w14:textId="77777777" w:rsidTr="001E0D8E">
        <w:tc>
          <w:tcPr>
            <w:tcW w:w="10214" w:type="dxa"/>
          </w:tcPr>
          <w:p w14:paraId="48413A40" w14:textId="3AB52D86" w:rsidR="001E0D8E" w:rsidRPr="006452E7" w:rsidRDefault="006452E7" w:rsidP="00934D2A">
            <w:pPr>
              <w:pStyle w:val="ListParagraph"/>
              <w:ind w:left="0"/>
              <w:rPr>
                <w:rFonts w:asciiTheme="majorHAnsi" w:hAnsiTheme="majorHAnsi"/>
                <w:b/>
                <w:bCs/>
                <w:color w:val="548DD4" w:themeColor="text2" w:themeTint="99"/>
                <w:sz w:val="26"/>
                <w:szCs w:val="26"/>
              </w:rPr>
            </w:pPr>
            <w:r w:rsidRPr="009771B5">
              <w:rPr>
                <w:rFonts w:asciiTheme="majorHAnsi" w:hAnsiTheme="majorHAnsi"/>
                <w:b/>
                <w:bCs/>
                <w:color w:val="365F91" w:themeColor="accent1" w:themeShade="BF"/>
                <w:sz w:val="26"/>
                <w:szCs w:val="26"/>
              </w:rPr>
              <w:lastRenderedPageBreak/>
              <w:t>Reportable Range</w:t>
            </w:r>
          </w:p>
        </w:tc>
      </w:tr>
      <w:tr w:rsidR="006452E7" w14:paraId="482F01D6" w14:textId="77777777" w:rsidTr="001E0D8E">
        <w:tc>
          <w:tcPr>
            <w:tcW w:w="10214" w:type="dxa"/>
          </w:tcPr>
          <w:p w14:paraId="18B78F85" w14:textId="77777777" w:rsidR="006452E7" w:rsidRDefault="009771B5" w:rsidP="00CF6846">
            <w:pPr>
              <w:pStyle w:val="ListParagraph"/>
              <w:numPr>
                <w:ilvl w:val="0"/>
                <w:numId w:val="2"/>
              </w:numPr>
            </w:pPr>
            <w:r>
              <w:t xml:space="preserve">Test results are reported as “detected” or “not detected” </w:t>
            </w:r>
          </w:p>
          <w:p w14:paraId="60701DAB" w14:textId="24D19E6D" w:rsidR="00CF6846" w:rsidRPr="00CF6846" w:rsidRDefault="00CF6846" w:rsidP="00CF6846">
            <w:pPr>
              <w:pStyle w:val="ListParagraph"/>
            </w:pPr>
          </w:p>
        </w:tc>
      </w:tr>
      <w:tr w:rsidR="006C54B6" w14:paraId="3C6FEC87" w14:textId="77777777" w:rsidTr="001E0D8E">
        <w:tc>
          <w:tcPr>
            <w:tcW w:w="10214" w:type="dxa"/>
          </w:tcPr>
          <w:p w14:paraId="2B8585EF" w14:textId="04A637D5" w:rsidR="006C54B6" w:rsidRDefault="006C54B6" w:rsidP="006C54B6">
            <w:r>
              <w:rPr>
                <w:rFonts w:asciiTheme="majorHAnsi" w:hAnsiTheme="majorHAnsi"/>
                <w:b/>
                <w:bCs/>
                <w:color w:val="365F91" w:themeColor="accent1" w:themeShade="BF"/>
                <w:sz w:val="26"/>
                <w:szCs w:val="26"/>
              </w:rPr>
              <w:t>Postmortem Collection and Submission</w:t>
            </w:r>
          </w:p>
        </w:tc>
      </w:tr>
      <w:tr w:rsidR="008808CD" w14:paraId="7A7F3BED" w14:textId="77777777" w:rsidTr="001E0D8E">
        <w:tc>
          <w:tcPr>
            <w:tcW w:w="10214" w:type="dxa"/>
          </w:tcPr>
          <w:p w14:paraId="363ED2E1" w14:textId="328621E8" w:rsidR="00B44CE3" w:rsidRDefault="00B44CE3" w:rsidP="009771B5">
            <w:pPr>
              <w:pStyle w:val="ListParagraph"/>
              <w:numPr>
                <w:ilvl w:val="0"/>
                <w:numId w:val="2"/>
              </w:numPr>
            </w:pPr>
            <w:r>
              <w:t>Intended for specimens from deceased persons under investigation (PUI) for COVID-19 interim guideline</w:t>
            </w:r>
            <w:r w:rsidR="00654BF5">
              <w:t xml:space="preserve">, </w:t>
            </w:r>
            <w:hyperlink r:id="rId7" w:history="1">
              <w:r w:rsidR="00654BF5" w:rsidRPr="0044008C">
                <w:rPr>
                  <w:rStyle w:val="Hyperlink"/>
                </w:rPr>
                <w:t>https://www.cdc.gov/coronavirus/2019-ncov/hcp/guidance-postmortem-specimens.html</w:t>
              </w:r>
            </w:hyperlink>
          </w:p>
          <w:p w14:paraId="6E5FA016" w14:textId="77777777" w:rsidR="00654BF5" w:rsidRDefault="00654BF5" w:rsidP="00654BF5">
            <w:pPr>
              <w:pStyle w:val="ListParagraph"/>
            </w:pPr>
          </w:p>
          <w:p w14:paraId="232CD7AF" w14:textId="42B3F44C" w:rsidR="00B44CE3" w:rsidRDefault="00B44CE3" w:rsidP="009771B5">
            <w:pPr>
              <w:pStyle w:val="ListParagraph"/>
              <w:numPr>
                <w:ilvl w:val="1"/>
                <w:numId w:val="2"/>
              </w:numPr>
            </w:pPr>
            <w:r>
              <w:t>Collection of post-mortem upper respiratory track swab specimens</w:t>
            </w:r>
          </w:p>
          <w:p w14:paraId="0A5B152A" w14:textId="5C4DB952" w:rsidR="00B44CE3" w:rsidRDefault="00B44CE3" w:rsidP="009771B5">
            <w:pPr>
              <w:pStyle w:val="ListParagraph"/>
              <w:numPr>
                <w:ilvl w:val="2"/>
                <w:numId w:val="2"/>
              </w:numPr>
            </w:pPr>
            <w:r>
              <w:t>Individuals in the room during the procedure should be limited to healthcare personnel (HCP) obtaining the specimen. If HCP are not performing an autopsy or conducting aerosol generating procedures (AGP’s), follow Standard Precautions</w:t>
            </w:r>
          </w:p>
          <w:p w14:paraId="2DB0220E" w14:textId="77777777" w:rsidR="00654BF5" w:rsidRDefault="00654BF5" w:rsidP="00654BF5">
            <w:pPr>
              <w:pStyle w:val="ListParagraph"/>
              <w:numPr>
                <w:ilvl w:val="1"/>
                <w:numId w:val="2"/>
              </w:numPr>
            </w:pPr>
            <w:r>
              <w:t xml:space="preserve">Engineering control recommendations: </w:t>
            </w:r>
          </w:p>
          <w:p w14:paraId="2713BC83" w14:textId="77777777" w:rsidR="00654BF5" w:rsidRDefault="00654BF5" w:rsidP="00654BF5">
            <w:pPr>
              <w:pStyle w:val="ListParagraph"/>
              <w:numPr>
                <w:ilvl w:val="2"/>
                <w:numId w:val="2"/>
              </w:numPr>
            </w:pPr>
            <w:r>
              <w:t xml:space="preserve">Since collection of nasopharyngeal and oropharyngeal swab specimens from deceased persons will not induce coughing or sneezing, a negative pressure room is not required.  Personnel should adhere to Standard Precautions as described above.  </w:t>
            </w:r>
          </w:p>
          <w:p w14:paraId="00FE3465" w14:textId="77777777" w:rsidR="00654BF5" w:rsidRDefault="00654BF5" w:rsidP="006B68C0">
            <w:pPr>
              <w:pStyle w:val="ListParagraph"/>
              <w:numPr>
                <w:ilvl w:val="1"/>
                <w:numId w:val="2"/>
              </w:numPr>
            </w:pPr>
            <w:r>
              <w:lastRenderedPageBreak/>
              <w:t xml:space="preserve">PPE Recommendations (The following PPE should be worn at a minimum): </w:t>
            </w:r>
          </w:p>
          <w:p w14:paraId="1E59888F" w14:textId="77777777" w:rsidR="00654BF5" w:rsidRDefault="00654BF5" w:rsidP="006B68C0">
            <w:pPr>
              <w:pStyle w:val="ListParagraph"/>
              <w:numPr>
                <w:ilvl w:val="2"/>
                <w:numId w:val="2"/>
              </w:numPr>
            </w:pPr>
            <w:r>
              <w:t>Wear non-sterile, nitrile gloves when handling potentially infectious materials</w:t>
            </w:r>
          </w:p>
          <w:p w14:paraId="2E3F0E69" w14:textId="77777777" w:rsidR="00654BF5" w:rsidRDefault="00654BF5" w:rsidP="006B68C0">
            <w:pPr>
              <w:pStyle w:val="ListParagraph"/>
              <w:numPr>
                <w:ilvl w:val="2"/>
                <w:numId w:val="2"/>
              </w:numPr>
            </w:pPr>
            <w:r>
              <w:t>If there is risk of cuts, puncture wounds, or other injuries that break the skin, wear heavy-duty gloves over the nitrile gloves</w:t>
            </w:r>
          </w:p>
          <w:p w14:paraId="3CD9FA51" w14:textId="77777777" w:rsidR="00654BF5" w:rsidRDefault="00654BF5" w:rsidP="006B68C0">
            <w:pPr>
              <w:pStyle w:val="ListParagraph"/>
              <w:numPr>
                <w:ilvl w:val="2"/>
                <w:numId w:val="2"/>
              </w:numPr>
            </w:pPr>
            <w:r>
              <w:t xml:space="preserve">Wear a clean, long-sleeved fluid resistant or impermeable gown to protect skin and clothing </w:t>
            </w:r>
          </w:p>
          <w:p w14:paraId="3FD36713" w14:textId="77777777" w:rsidR="00654BF5" w:rsidRDefault="00654BF5" w:rsidP="006B68C0">
            <w:pPr>
              <w:pStyle w:val="ListParagraph"/>
              <w:numPr>
                <w:ilvl w:val="2"/>
                <w:numId w:val="2"/>
              </w:numPr>
            </w:pPr>
            <w:r>
              <w:t xml:space="preserve">Use a plastic face shield or a face mask and goggles to protect the face, eyes, nose and mouth from splashes of potentially infectious body fluids </w:t>
            </w:r>
          </w:p>
          <w:p w14:paraId="13ABCAA4" w14:textId="0E276470" w:rsidR="00654BF5" w:rsidRDefault="00654BF5" w:rsidP="006B68C0">
            <w:pPr>
              <w:pStyle w:val="ListParagraph"/>
              <w:numPr>
                <w:ilvl w:val="1"/>
                <w:numId w:val="2"/>
              </w:numPr>
            </w:pPr>
            <w:r>
              <w:t xml:space="preserve">Autopsies are not performed within Aspirus facilities. If an autopsy is NOT performed, collection of the following postmortem specimens is recommended: </w:t>
            </w:r>
          </w:p>
          <w:p w14:paraId="26D914B7" w14:textId="6EDB94BD" w:rsidR="00415E17" w:rsidRDefault="00415E17" w:rsidP="006B68C0">
            <w:pPr>
              <w:pStyle w:val="ListParagraph"/>
              <w:numPr>
                <w:ilvl w:val="2"/>
                <w:numId w:val="2"/>
              </w:numPr>
            </w:pPr>
            <w:r>
              <w:t xml:space="preserve">Postmortem clinical specimens for testing of SARS-CoV-2, the virus that causes COVID-19, include only upper respiratory tract swabs: Nasopharyngeal </w:t>
            </w:r>
            <w:r w:rsidRPr="00415E17">
              <w:rPr>
                <w:b/>
                <w:bCs/>
                <w:u w:val="single"/>
              </w:rPr>
              <w:t>and</w:t>
            </w:r>
            <w:r>
              <w:t xml:space="preserve"> oropharyngeal swab</w:t>
            </w:r>
          </w:p>
          <w:p w14:paraId="184AFF92" w14:textId="02F022E3" w:rsidR="00415E17" w:rsidRDefault="00415E17" w:rsidP="006B68C0">
            <w:pPr>
              <w:pStyle w:val="ListParagraph"/>
              <w:numPr>
                <w:ilvl w:val="2"/>
                <w:numId w:val="2"/>
              </w:numPr>
            </w:pPr>
            <w:r>
              <w:t>Separate NP and OP swab specimens for testing of other respiratory pathogens</w:t>
            </w:r>
          </w:p>
          <w:p w14:paraId="5176FF0F" w14:textId="207E9362" w:rsidR="00415E17" w:rsidRDefault="00415E17" w:rsidP="006B68C0">
            <w:pPr>
              <w:pStyle w:val="ListParagraph"/>
              <w:numPr>
                <w:ilvl w:val="2"/>
                <w:numId w:val="2"/>
              </w:numPr>
            </w:pPr>
            <w:r>
              <w:t>In addition to postmortem specimens, submission of any remaining clinical specimens (e.g. NP swab, OP swab, sputum, serum, stool) that may have been collected prior to death is recommended. Please refer to Interim Guidelines for Collecting, Handling, and Testing Clinical Specimens for Persons Under Investigation (PUIs) for Coronavirus D</w:t>
            </w:r>
            <w:r w:rsidR="006C54B6">
              <w:t>is</w:t>
            </w:r>
            <w:r>
              <w:t>ease 2019 (COVID-19) for more information</w:t>
            </w:r>
          </w:p>
          <w:p w14:paraId="2A1EA38E" w14:textId="1937453F" w:rsidR="00654BF5" w:rsidRDefault="00415E17" w:rsidP="006B68C0">
            <w:pPr>
              <w:pStyle w:val="ListParagraph"/>
              <w:numPr>
                <w:ilvl w:val="2"/>
                <w:numId w:val="2"/>
              </w:numPr>
            </w:pPr>
            <w:r>
              <w:t>Detailed guidance for postmortem specimen collection can be found</w:t>
            </w:r>
            <w:r w:rsidR="00654BF5">
              <w:t xml:space="preserve"> at </w:t>
            </w:r>
            <w:hyperlink r:id="rId8" w:anchor="SpecimenCollection" w:history="1">
              <w:r w:rsidR="00654BF5" w:rsidRPr="00654BF5">
                <w:rPr>
                  <w:rStyle w:val="Hyperlink"/>
                </w:rPr>
                <w:t>https://www.cdc.gov/ coronavirus/2019-ncov/hcp/guidance-postmortem-specimens.html#SpecimenCollection</w:t>
              </w:r>
            </w:hyperlink>
          </w:p>
          <w:p w14:paraId="3FA6BBCB" w14:textId="263694E0" w:rsidR="00BC356D" w:rsidRDefault="00BC356D" w:rsidP="00415E17">
            <w:pPr>
              <w:pStyle w:val="ListParagraph"/>
            </w:pPr>
          </w:p>
        </w:tc>
      </w:tr>
      <w:tr w:rsidR="00325B94" w14:paraId="07DAFEE7" w14:textId="77777777" w:rsidTr="001E0D8E">
        <w:tc>
          <w:tcPr>
            <w:tcW w:w="10214" w:type="dxa"/>
          </w:tcPr>
          <w:p w14:paraId="485BE131" w14:textId="2C82954C" w:rsidR="00325B94" w:rsidRDefault="00325B94" w:rsidP="00325B94">
            <w:r>
              <w:rPr>
                <w:rFonts w:asciiTheme="majorHAnsi" w:hAnsiTheme="majorHAnsi"/>
                <w:b/>
                <w:bCs/>
                <w:color w:val="365F91" w:themeColor="accent1" w:themeShade="BF"/>
                <w:sz w:val="26"/>
                <w:szCs w:val="26"/>
              </w:rPr>
              <w:lastRenderedPageBreak/>
              <w:t>Value</w:t>
            </w:r>
            <w:r w:rsidR="000B1614">
              <w:rPr>
                <w:rFonts w:asciiTheme="majorHAnsi" w:hAnsiTheme="majorHAnsi"/>
                <w:b/>
                <w:bCs/>
                <w:color w:val="365F91" w:themeColor="accent1" w:themeShade="BF"/>
                <w:sz w:val="26"/>
                <w:szCs w:val="26"/>
              </w:rPr>
              <w:t xml:space="preserve"> </w:t>
            </w:r>
            <w:r>
              <w:rPr>
                <w:rFonts w:asciiTheme="majorHAnsi" w:hAnsiTheme="majorHAnsi"/>
                <w:b/>
                <w:bCs/>
                <w:color w:val="365F91" w:themeColor="accent1" w:themeShade="BF"/>
                <w:sz w:val="26"/>
                <w:szCs w:val="26"/>
              </w:rPr>
              <w:t>Analysis</w:t>
            </w:r>
          </w:p>
        </w:tc>
      </w:tr>
      <w:tr w:rsidR="00325B94" w14:paraId="51D8964E" w14:textId="77777777" w:rsidTr="001E0D8E">
        <w:tc>
          <w:tcPr>
            <w:tcW w:w="10214" w:type="dxa"/>
          </w:tcPr>
          <w:p w14:paraId="3644F1E0" w14:textId="77777777" w:rsidR="00325B94" w:rsidRDefault="00325B94" w:rsidP="00325B94">
            <w:pPr>
              <w:pStyle w:val="ListParagraph"/>
              <w:numPr>
                <w:ilvl w:val="0"/>
                <w:numId w:val="2"/>
              </w:numPr>
            </w:pPr>
            <w:r>
              <w:t>Critical Value(s)</w:t>
            </w:r>
          </w:p>
          <w:p w14:paraId="51D34ED4" w14:textId="77777777" w:rsidR="00325B94" w:rsidRDefault="00325B94" w:rsidP="00325B94">
            <w:pPr>
              <w:pStyle w:val="ListParagraph"/>
              <w:numPr>
                <w:ilvl w:val="1"/>
                <w:numId w:val="2"/>
              </w:numPr>
            </w:pPr>
            <w:r>
              <w:t>ARUP will consider deterred or positive results to be critical results. The client will be called and the call will be documented</w:t>
            </w:r>
          </w:p>
          <w:p w14:paraId="6E21E472" w14:textId="77777777" w:rsidR="00325B94" w:rsidRDefault="00325B94" w:rsidP="00325B94">
            <w:pPr>
              <w:pStyle w:val="ListParagraph"/>
              <w:numPr>
                <w:ilvl w:val="1"/>
                <w:numId w:val="2"/>
              </w:numPr>
            </w:pPr>
            <w:r>
              <w:t xml:space="preserve">Aspirus Reference Lab will proceed with the result as a </w:t>
            </w:r>
            <w:r w:rsidRPr="00CF6846">
              <w:t>Non-critical, infection control notification</w:t>
            </w:r>
          </w:p>
          <w:p w14:paraId="7E2AFA7D" w14:textId="5509A593" w:rsidR="00CF6846" w:rsidRDefault="00CF6846" w:rsidP="00CF6846">
            <w:pPr>
              <w:pStyle w:val="ListParagraph"/>
              <w:ind w:left="1440"/>
            </w:pPr>
          </w:p>
        </w:tc>
      </w:tr>
      <w:tr w:rsidR="00325B94" w14:paraId="2A768155" w14:textId="77777777" w:rsidTr="001E0D8E">
        <w:tc>
          <w:tcPr>
            <w:tcW w:w="10214" w:type="dxa"/>
          </w:tcPr>
          <w:p w14:paraId="35B13FBC" w14:textId="61A1B3FB" w:rsidR="00325B94" w:rsidRDefault="00325B94" w:rsidP="00325B94">
            <w:pPr>
              <w:pStyle w:val="ListParagraph"/>
              <w:numPr>
                <w:ilvl w:val="0"/>
                <w:numId w:val="2"/>
              </w:numPr>
            </w:pPr>
            <w:r>
              <w:t>Interpretation of Results</w:t>
            </w:r>
          </w:p>
          <w:p w14:paraId="05B2E910" w14:textId="77777777" w:rsidR="00325B94" w:rsidRDefault="00325B94" w:rsidP="00325B94">
            <w:pPr>
              <w:pStyle w:val="ListParagraph"/>
              <w:numPr>
                <w:ilvl w:val="1"/>
                <w:numId w:val="2"/>
              </w:numPr>
            </w:pPr>
            <w:r>
              <w:t>The results are not intended to be used as the sole means for clinical diagnosis or patient management decisions</w:t>
            </w:r>
          </w:p>
          <w:p w14:paraId="7D0B02C7" w14:textId="2545E6C5" w:rsidR="00CF6846" w:rsidRDefault="00CF6846" w:rsidP="00CF6846">
            <w:pPr>
              <w:pStyle w:val="ListParagraph"/>
              <w:ind w:left="1440"/>
            </w:pPr>
          </w:p>
        </w:tc>
      </w:tr>
      <w:tr w:rsidR="00325B94" w14:paraId="23910449" w14:textId="77777777" w:rsidTr="001E0D8E">
        <w:tc>
          <w:tcPr>
            <w:tcW w:w="10214" w:type="dxa"/>
          </w:tcPr>
          <w:p w14:paraId="43BB6DAC" w14:textId="77777777" w:rsidR="00325B94" w:rsidRDefault="00325B94" w:rsidP="00325B94">
            <w:pPr>
              <w:pStyle w:val="ListParagraph"/>
              <w:numPr>
                <w:ilvl w:val="0"/>
                <w:numId w:val="2"/>
              </w:numPr>
            </w:pPr>
            <w:r>
              <w:t>Criteria for the Referral of Specimens to a Reference Laboratory</w:t>
            </w:r>
          </w:p>
          <w:p w14:paraId="153ABDE0" w14:textId="77777777" w:rsidR="00325B94" w:rsidRDefault="00325B94" w:rsidP="00325B94">
            <w:pPr>
              <w:pStyle w:val="ListParagraph"/>
              <w:numPr>
                <w:ilvl w:val="1"/>
                <w:numId w:val="2"/>
              </w:numPr>
            </w:pPr>
            <w:r>
              <w:t>Testing for COVID-19 (2019-nCoV) will be completed by the WSLH (Wisconsin State Lab of Hygiene) or ARUP. Specimens with positive results may be forwarded to the CDC for additional testing</w:t>
            </w:r>
          </w:p>
          <w:p w14:paraId="5ABD19BB" w14:textId="3BA3C7F4" w:rsidR="00CF6846" w:rsidRDefault="00CF6846" w:rsidP="00CF6846">
            <w:pPr>
              <w:pStyle w:val="ListParagraph"/>
              <w:ind w:left="1440"/>
            </w:pPr>
          </w:p>
        </w:tc>
      </w:tr>
    </w:tbl>
    <w:p w14:paraId="2E89F227" w14:textId="7073DA8B" w:rsidR="008808CD" w:rsidRPr="006B68C0" w:rsidRDefault="00C906CF" w:rsidP="008808CD">
      <w:pPr>
        <w:rPr>
          <w:b/>
          <w:bCs/>
        </w:rPr>
      </w:pPr>
      <w:r w:rsidRPr="006B68C0">
        <w:rPr>
          <w:b/>
          <w:bCs/>
        </w:rPr>
        <w:t>References</w:t>
      </w:r>
    </w:p>
    <w:p w14:paraId="2793E775" w14:textId="315F5B1D" w:rsidR="00C906CF" w:rsidRDefault="00C906CF" w:rsidP="008808CD">
      <w:r w:rsidRPr="00C906CF">
        <w:t>2019. Nursing Procedures, Lippincott's - 8th Ed. Philadelphia. Lippincott Williams &amp; Wilkins. ISBN-10: 1-4698-1529-X, ISBN-13: 978-1-4698-1529-9. STAT!Ref Online Electronic Medical Library.  http://online.statref.com/document/DKjwVUyF3qTr613VtEku8D!!. 3/13/2020 8:48:51 AM CDT (UTC -05:00).</w:t>
      </w:r>
    </w:p>
    <w:p w14:paraId="0A887935" w14:textId="30F3CEF4" w:rsidR="00C906CF" w:rsidRPr="008808CD" w:rsidRDefault="00C906CF" w:rsidP="008808CD">
      <w:r>
        <w:t xml:space="preserve">Aspirus Policy-  </w:t>
      </w:r>
      <w:r w:rsidRPr="00C906CF">
        <w:t>Collection and Handling of Laboratory Samples COVID-19 (2019-nCoV)</w:t>
      </w:r>
    </w:p>
    <w:sectPr w:rsidR="00C906CF" w:rsidRPr="008808CD" w:rsidSect="00833E0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95A6F"/>
    <w:multiLevelType w:val="hybridMultilevel"/>
    <w:tmpl w:val="732E47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751926"/>
    <w:multiLevelType w:val="hybridMultilevel"/>
    <w:tmpl w:val="931C3994"/>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63A17485"/>
    <w:multiLevelType w:val="hybridMultilevel"/>
    <w:tmpl w:val="A008CE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5019B2"/>
    <w:multiLevelType w:val="hybridMultilevel"/>
    <w:tmpl w:val="732E47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CD"/>
    <w:rsid w:val="000A4E26"/>
    <w:rsid w:val="000B1614"/>
    <w:rsid w:val="001E0D8E"/>
    <w:rsid w:val="00325B94"/>
    <w:rsid w:val="003D6EF5"/>
    <w:rsid w:val="00415E17"/>
    <w:rsid w:val="004B1354"/>
    <w:rsid w:val="006452E7"/>
    <w:rsid w:val="00654BF5"/>
    <w:rsid w:val="006B68C0"/>
    <w:rsid w:val="006C54B6"/>
    <w:rsid w:val="007D1831"/>
    <w:rsid w:val="00833E01"/>
    <w:rsid w:val="008808CD"/>
    <w:rsid w:val="00934D2A"/>
    <w:rsid w:val="009771B5"/>
    <w:rsid w:val="00B44CE3"/>
    <w:rsid w:val="00BC356D"/>
    <w:rsid w:val="00C906CF"/>
    <w:rsid w:val="00CF6846"/>
    <w:rsid w:val="00EB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C8B5"/>
  <w15:chartTrackingRefBased/>
  <w15:docId w15:val="{BBC98810-4050-4CFD-9701-A426A8B5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E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3E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08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8C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808CD"/>
    <w:pPr>
      <w:ind w:left="720"/>
      <w:contextualSpacing/>
    </w:pPr>
  </w:style>
  <w:style w:type="table" w:styleId="TableGrid">
    <w:name w:val="Table Grid"/>
    <w:basedOn w:val="TableNormal"/>
    <w:uiPriority w:val="59"/>
    <w:rsid w:val="00880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33E0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833E0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54BF5"/>
    <w:rPr>
      <w:color w:val="0000FF" w:themeColor="hyperlink"/>
      <w:u w:val="single"/>
    </w:rPr>
  </w:style>
  <w:style w:type="character" w:styleId="UnresolvedMention">
    <w:name w:val="Unresolved Mention"/>
    <w:basedOn w:val="DefaultParagraphFont"/>
    <w:uiPriority w:val="99"/>
    <w:semiHidden/>
    <w:unhideWhenUsed/>
    <w:rsid w:val="00654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655096">
      <w:bodyDiv w:val="1"/>
      <w:marLeft w:val="0"/>
      <w:marRight w:val="0"/>
      <w:marTop w:val="0"/>
      <w:marBottom w:val="0"/>
      <w:divBdr>
        <w:top w:val="none" w:sz="0" w:space="0" w:color="auto"/>
        <w:left w:val="none" w:sz="0" w:space="0" w:color="auto"/>
        <w:bottom w:val="none" w:sz="0" w:space="0" w:color="auto"/>
        <w:right w:val="none" w:sz="0" w:space="0" w:color="auto"/>
      </w:divBdr>
      <w:divsChild>
        <w:div w:id="1201238116">
          <w:marLeft w:val="0"/>
          <w:marRight w:val="0"/>
          <w:marTop w:val="0"/>
          <w:marBottom w:val="0"/>
          <w:divBdr>
            <w:top w:val="none" w:sz="0" w:space="0" w:color="auto"/>
            <w:left w:val="none" w:sz="0" w:space="0" w:color="auto"/>
            <w:bottom w:val="none" w:sz="0" w:space="0" w:color="auto"/>
            <w:right w:val="none" w:sz="0" w:space="0" w:color="auto"/>
          </w:divBdr>
          <w:divsChild>
            <w:div w:id="684747689">
              <w:marLeft w:val="0"/>
              <w:marRight w:val="0"/>
              <w:marTop w:val="0"/>
              <w:marBottom w:val="0"/>
              <w:divBdr>
                <w:top w:val="none" w:sz="0" w:space="0" w:color="auto"/>
                <w:left w:val="none" w:sz="0" w:space="0" w:color="auto"/>
                <w:bottom w:val="none" w:sz="0" w:space="0" w:color="auto"/>
                <w:right w:val="none" w:sz="0" w:space="0" w:color="auto"/>
              </w:divBdr>
              <w:divsChild>
                <w:div w:id="442113974">
                  <w:marLeft w:val="0"/>
                  <w:marRight w:val="0"/>
                  <w:marTop w:val="0"/>
                  <w:marBottom w:val="0"/>
                  <w:divBdr>
                    <w:top w:val="none" w:sz="0" w:space="0" w:color="auto"/>
                    <w:left w:val="none" w:sz="0" w:space="0" w:color="auto"/>
                    <w:bottom w:val="none" w:sz="0" w:space="0" w:color="auto"/>
                    <w:right w:val="none" w:sz="0" w:space="0" w:color="auto"/>
                  </w:divBdr>
                  <w:divsChild>
                    <w:div w:id="1120150057">
                      <w:marLeft w:val="0"/>
                      <w:marRight w:val="0"/>
                      <w:marTop w:val="0"/>
                      <w:marBottom w:val="0"/>
                      <w:divBdr>
                        <w:top w:val="none" w:sz="0" w:space="0" w:color="auto"/>
                        <w:left w:val="none" w:sz="0" w:space="0" w:color="auto"/>
                        <w:bottom w:val="none" w:sz="0" w:space="0" w:color="auto"/>
                        <w:right w:val="none" w:sz="0" w:space="0" w:color="auto"/>
                      </w:divBdr>
                      <w:divsChild>
                        <w:div w:id="1241990337">
                          <w:marLeft w:val="0"/>
                          <w:marRight w:val="0"/>
                          <w:marTop w:val="0"/>
                          <w:marBottom w:val="0"/>
                          <w:divBdr>
                            <w:top w:val="none" w:sz="0" w:space="0" w:color="auto"/>
                            <w:left w:val="none" w:sz="0" w:space="0" w:color="auto"/>
                            <w:bottom w:val="none" w:sz="0" w:space="0" w:color="auto"/>
                            <w:right w:val="none" w:sz="0" w:space="0" w:color="auto"/>
                          </w:divBdr>
                          <w:divsChild>
                            <w:div w:id="1805779827">
                              <w:marLeft w:val="0"/>
                              <w:marRight w:val="0"/>
                              <w:marTop w:val="0"/>
                              <w:marBottom w:val="0"/>
                              <w:divBdr>
                                <w:top w:val="none" w:sz="0" w:space="0" w:color="auto"/>
                                <w:left w:val="none" w:sz="0" w:space="0" w:color="auto"/>
                                <w:bottom w:val="none" w:sz="0" w:space="0" w:color="auto"/>
                                <w:right w:val="none" w:sz="0" w:space="0" w:color="auto"/>
                              </w:divBdr>
                              <w:divsChild>
                                <w:div w:id="1774326985">
                                  <w:marLeft w:val="0"/>
                                  <w:marRight w:val="0"/>
                                  <w:marTop w:val="0"/>
                                  <w:marBottom w:val="0"/>
                                  <w:divBdr>
                                    <w:top w:val="none" w:sz="0" w:space="0" w:color="auto"/>
                                    <w:left w:val="none" w:sz="0" w:space="0" w:color="auto"/>
                                    <w:bottom w:val="none" w:sz="0" w:space="0" w:color="auto"/>
                                    <w:right w:val="none" w:sz="0" w:space="0" w:color="auto"/>
                                  </w:divBdr>
                                  <w:divsChild>
                                    <w:div w:id="554050362">
                                      <w:marLeft w:val="0"/>
                                      <w:marRight w:val="0"/>
                                      <w:marTop w:val="0"/>
                                      <w:marBottom w:val="0"/>
                                      <w:divBdr>
                                        <w:top w:val="none" w:sz="0" w:space="0" w:color="auto"/>
                                        <w:left w:val="none" w:sz="0" w:space="0" w:color="auto"/>
                                        <w:bottom w:val="none" w:sz="0" w:space="0" w:color="auto"/>
                                        <w:right w:val="none" w:sz="0" w:space="0" w:color="auto"/>
                                      </w:divBdr>
                                      <w:divsChild>
                                        <w:div w:id="1876380935">
                                          <w:marLeft w:val="0"/>
                                          <w:marRight w:val="0"/>
                                          <w:marTop w:val="0"/>
                                          <w:marBottom w:val="0"/>
                                          <w:divBdr>
                                            <w:top w:val="none" w:sz="0" w:space="0" w:color="auto"/>
                                            <w:left w:val="none" w:sz="0" w:space="0" w:color="auto"/>
                                            <w:bottom w:val="none" w:sz="0" w:space="0" w:color="auto"/>
                                            <w:right w:val="none" w:sz="0" w:space="0" w:color="auto"/>
                                          </w:divBdr>
                                          <w:divsChild>
                                            <w:div w:id="734397430">
                                              <w:marLeft w:val="0"/>
                                              <w:marRight w:val="0"/>
                                              <w:marTop w:val="0"/>
                                              <w:marBottom w:val="0"/>
                                              <w:divBdr>
                                                <w:top w:val="none" w:sz="0" w:space="0" w:color="auto"/>
                                                <w:left w:val="none" w:sz="0" w:space="0" w:color="auto"/>
                                                <w:bottom w:val="none" w:sz="0" w:space="0" w:color="auto"/>
                                                <w:right w:val="none" w:sz="0" w:space="0" w:color="auto"/>
                                              </w:divBdr>
                                            </w:div>
                                            <w:div w:id="1868987325">
                                              <w:marLeft w:val="0"/>
                                              <w:marRight w:val="0"/>
                                              <w:marTop w:val="0"/>
                                              <w:marBottom w:val="0"/>
                                              <w:divBdr>
                                                <w:top w:val="none" w:sz="0" w:space="0" w:color="auto"/>
                                                <w:left w:val="none" w:sz="0" w:space="0" w:color="auto"/>
                                                <w:bottom w:val="none" w:sz="0" w:space="0" w:color="auto"/>
                                                <w:right w:val="none" w:sz="0" w:space="0" w:color="auto"/>
                                              </w:divBdr>
                                            </w:div>
                                            <w:div w:id="1050301856">
                                              <w:marLeft w:val="0"/>
                                              <w:marRight w:val="0"/>
                                              <w:marTop w:val="0"/>
                                              <w:marBottom w:val="0"/>
                                              <w:divBdr>
                                                <w:top w:val="none" w:sz="0" w:space="0" w:color="auto"/>
                                                <w:left w:val="none" w:sz="0" w:space="0" w:color="auto"/>
                                                <w:bottom w:val="none" w:sz="0" w:space="0" w:color="auto"/>
                                                <w:right w:val="none" w:sz="0" w:space="0" w:color="auto"/>
                                              </w:divBdr>
                                            </w:div>
                                            <w:div w:id="98911140">
                                              <w:marLeft w:val="0"/>
                                              <w:marRight w:val="0"/>
                                              <w:marTop w:val="0"/>
                                              <w:marBottom w:val="0"/>
                                              <w:divBdr>
                                                <w:top w:val="none" w:sz="0" w:space="0" w:color="auto"/>
                                                <w:left w:val="none" w:sz="0" w:space="0" w:color="auto"/>
                                                <w:bottom w:val="none" w:sz="0" w:space="0" w:color="auto"/>
                                                <w:right w:val="none" w:sz="0" w:space="0" w:color="auto"/>
                                              </w:divBdr>
                                            </w:div>
                                            <w:div w:id="1232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20coronavirus/2019-ncov/hcp/guidance-postmortem-specimens.html" TargetMode="External"/><Relationship Id="rId3" Type="http://schemas.openxmlformats.org/officeDocument/2006/relationships/settings" Target="settings.xml"/><Relationship Id="rId7" Type="http://schemas.openxmlformats.org/officeDocument/2006/relationships/hyperlink" Target="https://www.cdc.gov/coronavirus/2019-ncov/hcp/guidance-postmortem-specime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Aspirus Inc</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Sopata</dc:creator>
  <cp:keywords/>
  <dc:description/>
  <cp:lastModifiedBy>Amber Sopata</cp:lastModifiedBy>
  <cp:revision>5</cp:revision>
  <dcterms:created xsi:type="dcterms:W3CDTF">2020-03-13T14:06:00Z</dcterms:created>
  <dcterms:modified xsi:type="dcterms:W3CDTF">2020-03-13T21:11:00Z</dcterms:modified>
</cp:coreProperties>
</file>